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163A8D" w14:paraId="29344D10" w14:textId="77777777">
        <w:trPr>
          <w:trHeight w:hRule="exact" w:val="2835"/>
        </w:trPr>
        <w:tc>
          <w:tcPr>
            <w:tcW w:w="2408" w:type="dxa"/>
            <w:tcBorders>
              <w:bottom w:val="nil"/>
            </w:tcBorders>
          </w:tcPr>
          <w:p w14:paraId="4AF54E82" w14:textId="77777777" w:rsidR="00163A8D" w:rsidRPr="00B23B9D" w:rsidRDefault="00163A8D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rFonts w:ascii="Arial Black" w:hAnsi="Arial Black"/>
                <w:sz w:val="16"/>
              </w:rPr>
            </w:pPr>
            <w:r w:rsidRPr="00B23B9D">
              <w:rPr>
                <w:rFonts w:ascii="Arial Black" w:hAnsi="Arial Black"/>
                <w:sz w:val="16"/>
              </w:rPr>
              <w:t>Finanstilsynet</w:t>
            </w:r>
          </w:p>
          <w:p w14:paraId="3FD1AB24" w14:textId="77777777" w:rsidR="00163A8D" w:rsidRDefault="00163A8D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sz w:val="16"/>
              </w:rPr>
            </w:pPr>
          </w:p>
          <w:p w14:paraId="699F5CB7" w14:textId="6EDC3C75" w:rsidR="006C7261" w:rsidRDefault="003925D1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sz w:val="16"/>
              </w:rPr>
            </w:pPr>
            <w:bookmarkStart w:id="0" w:name="pDokDato"/>
            <w:bookmarkStart w:id="1" w:name="PCAdato"/>
            <w:bookmarkEnd w:id="1"/>
            <w:r>
              <w:rPr>
                <w:sz w:val="16"/>
              </w:rPr>
              <w:t>2</w:t>
            </w:r>
            <w:r w:rsidR="00C1731D">
              <w:rPr>
                <w:sz w:val="16"/>
              </w:rPr>
              <w:t>8</w:t>
            </w:r>
            <w:r w:rsidR="00A73BAD">
              <w:rPr>
                <w:sz w:val="16"/>
              </w:rPr>
              <w:t xml:space="preserve">. </w:t>
            </w:r>
            <w:r>
              <w:rPr>
                <w:sz w:val="16"/>
              </w:rPr>
              <w:t>juni</w:t>
            </w:r>
            <w:r w:rsidR="00A73BAD">
              <w:rPr>
                <w:sz w:val="16"/>
              </w:rPr>
              <w:t xml:space="preserve"> 2024</w:t>
            </w:r>
            <w:bookmarkEnd w:id="0"/>
          </w:p>
          <w:p w14:paraId="21B4D41D" w14:textId="77777777" w:rsidR="00163A8D" w:rsidRDefault="00163A8D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sz w:val="16"/>
              </w:rPr>
            </w:pPr>
            <w:bookmarkStart w:id="2" w:name="Kontor"/>
            <w:bookmarkEnd w:id="2"/>
          </w:p>
          <w:p w14:paraId="313A2B23" w14:textId="08EEFFBE" w:rsidR="00163A8D" w:rsidRDefault="006C7261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sz w:val="16"/>
              </w:rPr>
            </w:pPr>
            <w:r>
              <w:rPr>
                <w:sz w:val="16"/>
              </w:rPr>
              <w:t>J.nr.</w:t>
            </w:r>
            <w:bookmarkStart w:id="3" w:name="PCASag"/>
            <w:bookmarkEnd w:id="3"/>
            <w:r w:rsidR="000A0DC7">
              <w:rPr>
                <w:sz w:val="16"/>
              </w:rPr>
              <w:t xml:space="preserve"> </w:t>
            </w:r>
            <w:r w:rsidR="000A0DC7" w:rsidRPr="000A0DC7">
              <w:rPr>
                <w:sz w:val="16"/>
              </w:rPr>
              <w:t>23-016267</w:t>
            </w:r>
          </w:p>
          <w:p w14:paraId="1F95A5F3" w14:textId="77777777" w:rsidR="00C5465E" w:rsidRDefault="00A73BAD" w:rsidP="002E6F9A">
            <w:pPr>
              <w:pStyle w:val="skakt"/>
              <w:keepNext/>
              <w:keepLines/>
              <w:framePr w:w="0" w:h="8505" w:hRule="exact" w:hSpace="142" w:wrap="around" w:vAnchor="text" w:x="8931" w:y="1"/>
              <w:jc w:val="left"/>
              <w:rPr>
                <w:sz w:val="16"/>
              </w:rPr>
            </w:pPr>
            <w:bookmarkStart w:id="4" w:name="Initialer"/>
            <w:r>
              <w:rPr>
                <w:sz w:val="16"/>
              </w:rPr>
              <w:t>/EMSV</w:t>
            </w:r>
            <w:bookmarkEnd w:id="4"/>
          </w:p>
          <w:p w14:paraId="4B0C12A6" w14:textId="77777777" w:rsidR="00163A8D" w:rsidRDefault="00163A8D">
            <w:pPr>
              <w:pStyle w:val="skakt"/>
              <w:keepNext/>
              <w:keepLines/>
              <w:framePr w:w="0" w:h="8505" w:hRule="exact" w:hSpace="142" w:wrap="around" w:vAnchor="text" w:x="8931" w:y="1"/>
            </w:pPr>
          </w:p>
        </w:tc>
      </w:tr>
    </w:tbl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</w:tblGrid>
      <w:tr w:rsidR="00163A8D" w14:paraId="49E8EF85" w14:textId="77777777">
        <w:trPr>
          <w:cantSplit/>
          <w:trHeight w:val="2040"/>
        </w:trPr>
        <w:tc>
          <w:tcPr>
            <w:tcW w:w="7258" w:type="dxa"/>
          </w:tcPr>
          <w:p w14:paraId="567D21B9" w14:textId="77777777" w:rsidR="00163A8D" w:rsidRDefault="00163A8D"/>
          <w:p w14:paraId="198397EB" w14:textId="77777777" w:rsidR="00163A8D" w:rsidRDefault="00163A8D"/>
          <w:p w14:paraId="6867C073" w14:textId="77777777" w:rsidR="00163A8D" w:rsidRDefault="00163A8D">
            <w:bookmarkStart w:id="5" w:name="PCAmodtager"/>
            <w:bookmarkEnd w:id="5"/>
          </w:p>
          <w:p w14:paraId="6F4EF0D0" w14:textId="77777777" w:rsidR="00163A8D" w:rsidRDefault="00163A8D"/>
          <w:p w14:paraId="42795120" w14:textId="77777777" w:rsidR="00163A8D" w:rsidRDefault="00163A8D"/>
          <w:p w14:paraId="432A1250" w14:textId="77777777" w:rsidR="00163A8D" w:rsidRDefault="00163A8D"/>
          <w:p w14:paraId="400D7129" w14:textId="77777777" w:rsidR="00163A8D" w:rsidRDefault="00163A8D"/>
          <w:p w14:paraId="5EBB1386" w14:textId="77777777" w:rsidR="00163A8D" w:rsidRDefault="00163A8D"/>
        </w:tc>
      </w:tr>
    </w:tbl>
    <w:p w14:paraId="0839941E" w14:textId="77777777" w:rsidR="00163A8D" w:rsidRDefault="00163A8D" w:rsidP="00CF4780">
      <w:pPr>
        <w:pStyle w:val="Brdtekst"/>
      </w:pPr>
    </w:p>
    <w:p w14:paraId="23F3EB5D" w14:textId="53E45AA0" w:rsidR="00163A8D" w:rsidRPr="00CF4780" w:rsidRDefault="004C2F88" w:rsidP="00907B69">
      <w:pPr>
        <w:pStyle w:val="Overskrift1"/>
      </w:pPr>
      <w:bookmarkStart w:id="6" w:name="PCAoverskrift"/>
      <w:bookmarkStart w:id="7" w:name="PEmne"/>
      <w:bookmarkEnd w:id="6"/>
      <w:r>
        <w:t xml:space="preserve">Eksponeringer omfattet af </w:t>
      </w:r>
      <w:r w:rsidR="00A73BAD">
        <w:t xml:space="preserve">den </w:t>
      </w:r>
      <w:r>
        <w:t xml:space="preserve">sektorspecifikke </w:t>
      </w:r>
      <w:r w:rsidR="00A73BAD">
        <w:t>systemiske buffer</w:t>
      </w:r>
      <w:bookmarkEnd w:id="7"/>
      <w:r>
        <w:t xml:space="preserve"> på 7 pct.</w:t>
      </w:r>
    </w:p>
    <w:p w14:paraId="5F99058E" w14:textId="77777777" w:rsidR="00163A8D" w:rsidRDefault="00163A8D">
      <w:pPr>
        <w:pStyle w:val="Brdtekst"/>
      </w:pPr>
    </w:p>
    <w:p w14:paraId="0C771053" w14:textId="77777777" w:rsidR="00163A8D" w:rsidRDefault="00163A8D">
      <w:pPr>
        <w:pStyle w:val="Brdtekst"/>
      </w:pPr>
      <w:bookmarkStart w:id="8" w:name="PCAStart"/>
      <w:bookmarkEnd w:id="8"/>
    </w:p>
    <w:p w14:paraId="4EB9FDAB" w14:textId="77777777" w:rsidR="00163A8D" w:rsidRDefault="00163A8D">
      <w:pPr>
        <w:pStyle w:val="Brdtekst"/>
      </w:pPr>
    </w:p>
    <w:p w14:paraId="66CD5345" w14:textId="0A478638" w:rsidR="00A73BAD" w:rsidRDefault="004C2F88">
      <w:pPr>
        <w:pStyle w:val="Brdtekst"/>
      </w:pPr>
      <w:r w:rsidRPr="004C2F88">
        <w:t xml:space="preserve">Regeringen </w:t>
      </w:r>
      <w:r>
        <w:t>har d</w:t>
      </w:r>
      <w:r w:rsidRPr="00022C68">
        <w:t xml:space="preserve">. </w:t>
      </w:r>
      <w:r w:rsidR="00022C68" w:rsidRPr="00022C68">
        <w:t>26.</w:t>
      </w:r>
      <w:r w:rsidRPr="00022C68">
        <w:t xml:space="preserve"> april</w:t>
      </w:r>
      <w:r>
        <w:t xml:space="preserve"> 2024 annonceret, at den </w:t>
      </w:r>
      <w:r w:rsidRPr="004C2F88">
        <w:t xml:space="preserve">aktiverer </w:t>
      </w:r>
      <w:r>
        <w:t xml:space="preserve">en </w:t>
      </w:r>
      <w:r w:rsidRPr="004C2F88">
        <w:t xml:space="preserve">systemisk </w:t>
      </w:r>
      <w:r>
        <w:t xml:space="preserve">risikobuffer </w:t>
      </w:r>
      <w:r w:rsidRPr="004C2F88">
        <w:t>målrettet udlån til ejendomsselskaber</w:t>
      </w:r>
      <w:r>
        <w:t>.</w:t>
      </w:r>
      <w:r w:rsidRPr="004C2F88">
        <w:t xml:space="preserve"> </w:t>
      </w:r>
      <w:r w:rsidR="00A73BAD">
        <w:t xml:space="preserve">Den sektorspecifikke systemiske buffer </w:t>
      </w:r>
      <w:r>
        <w:t xml:space="preserve">fastsættes til </w:t>
      </w:r>
      <w:r w:rsidR="00A73BAD">
        <w:t>7 pct. af instituttets danske risikovægtede eksponeringer mod ejendomsselskaber, undtaget den del af eksponeringen der har pant i fast ejendom og ligger i LTV-båndet 0-15 pct.</w:t>
      </w:r>
      <w:r>
        <w:t xml:space="preserve"> Den sektorspecifikke systemiske buffer gælder fra 30. juni 2024. </w:t>
      </w:r>
    </w:p>
    <w:p w14:paraId="4E9B0874" w14:textId="77777777" w:rsidR="004C2F88" w:rsidRDefault="004C2F88">
      <w:pPr>
        <w:pStyle w:val="Brdtekst"/>
      </w:pPr>
    </w:p>
    <w:p w14:paraId="2D021667" w14:textId="08D99729" w:rsidR="004C2F88" w:rsidRDefault="004C2F88">
      <w:pPr>
        <w:pStyle w:val="Brdtekst"/>
      </w:pPr>
      <w:r>
        <w:t xml:space="preserve">Finanstilsynet vil med dette notat </w:t>
      </w:r>
      <w:r w:rsidR="004229A0">
        <w:t>vejlede nærmere om</w:t>
      </w:r>
      <w:r w:rsidR="00DF2E70">
        <w:t>,</w:t>
      </w:r>
      <w:r>
        <w:t xml:space="preserve"> hvilke eksponeringer der er omfattet af bufferen. Sidst i notatet er to eksempler på, hvordan kapitaleffekten på en eksponering beregnes.</w:t>
      </w:r>
    </w:p>
    <w:p w14:paraId="67B2DE4F" w14:textId="77777777" w:rsidR="00A73BAD" w:rsidRDefault="00A73BAD">
      <w:pPr>
        <w:pStyle w:val="Brdtekst"/>
      </w:pPr>
    </w:p>
    <w:p w14:paraId="3BC9AA19" w14:textId="79D4D0A2" w:rsidR="00A73BAD" w:rsidRDefault="004C2F88">
      <w:pPr>
        <w:pStyle w:val="Brdtekst"/>
      </w:pPr>
      <w:r>
        <w:t>E</w:t>
      </w:r>
      <w:r w:rsidR="00A73BAD">
        <w:t>ksponeringer med pant i fast ejendom er danske, hvis ejendommen</w:t>
      </w:r>
      <w:r>
        <w:t xml:space="preserve"> (pantet)</w:t>
      </w:r>
      <w:r w:rsidR="00A73BAD">
        <w:t xml:space="preserve"> ligger i Danmark. </w:t>
      </w:r>
      <w:r>
        <w:t>E</w:t>
      </w:r>
      <w:r w:rsidR="00A73BAD">
        <w:t xml:space="preserve">ksponeringer uden pant i fast ejendom </w:t>
      </w:r>
      <w:r>
        <w:t xml:space="preserve">er </w:t>
      </w:r>
      <w:r w:rsidR="00A73BAD">
        <w:t>danske, hvis debitor er dansk.</w:t>
      </w:r>
    </w:p>
    <w:p w14:paraId="620DE53E" w14:textId="77777777" w:rsidR="00A73BAD" w:rsidRDefault="00A73BAD">
      <w:pPr>
        <w:pStyle w:val="Brdtekst"/>
      </w:pPr>
    </w:p>
    <w:p w14:paraId="1FDFE835" w14:textId="2D0FEA33" w:rsidR="00A73BAD" w:rsidRPr="00A73BAD" w:rsidRDefault="00A73BAD" w:rsidP="00A73BAD">
      <w:pPr>
        <w:pStyle w:val="Brdtekst"/>
      </w:pPr>
      <w:r>
        <w:t xml:space="preserve">Ejendomsselskaber omfatter virksomheder i brancherne </w:t>
      </w:r>
      <w:r w:rsidRPr="00A73BAD">
        <w:t>"Gennemførelse af byggeprojekter" (411000) og "Fast ejendom" (L/68), dog undtaget "Almennyttige boligselskaber" (682010) og "Private andelsboligforeninger" (6820</w:t>
      </w:r>
      <w:r w:rsidR="000F7A94">
        <w:t>2</w:t>
      </w:r>
      <w:r w:rsidRPr="00A73BAD">
        <w:t>0)</w:t>
      </w:r>
      <w:r w:rsidR="00780CEE">
        <w:t>,</w:t>
      </w:r>
      <w:r>
        <w:t xml:space="preserve"> </w:t>
      </w:r>
      <w:r w:rsidR="00780CEE">
        <w:t>s</w:t>
      </w:r>
      <w:r>
        <w:t xml:space="preserve">om defineret i Danmarks Statistiks </w:t>
      </w:r>
      <w:r>
        <w:rPr>
          <w:i/>
          <w:iCs/>
        </w:rPr>
        <w:t>Dansk Branchekode DB07</w:t>
      </w:r>
      <w:r>
        <w:t>.</w:t>
      </w:r>
      <w:r>
        <w:rPr>
          <w:rStyle w:val="Fodnotehenvisning"/>
        </w:rPr>
        <w:footnoteReference w:id="1"/>
      </w:r>
    </w:p>
    <w:p w14:paraId="4AE36E8E" w14:textId="6BDBF305" w:rsidR="00A73BAD" w:rsidRDefault="00A73BAD">
      <w:pPr>
        <w:pStyle w:val="Brdtekst"/>
      </w:pPr>
    </w:p>
    <w:p w14:paraId="08180256" w14:textId="2EE4B673" w:rsidR="00A73BAD" w:rsidRDefault="00A73BAD">
      <w:pPr>
        <w:pStyle w:val="Brdtekst"/>
      </w:pPr>
      <w:r>
        <w:t>Ved opgørelse af undtagelsen for det laveste LTV-bånd bruges der</w:t>
      </w:r>
      <w:r w:rsidR="0003087D">
        <w:t>, for realkreditinstitutter,</w:t>
      </w:r>
      <w:r>
        <w:t xml:space="preserve"> </w:t>
      </w:r>
      <w:r w:rsidR="0003087D">
        <w:t>dags</w:t>
      </w:r>
      <w:r>
        <w:t>værdi</w:t>
      </w:r>
      <w:r w:rsidR="0003087D">
        <w:t>en</w:t>
      </w:r>
      <w:r>
        <w:t xml:space="preserve"> af udlånet. LTV beregnes ud fra ejendommes aktuelle værdi. Hvis instituttet har generelt pant eller pant i alt mellemværende</w:t>
      </w:r>
      <w:r w:rsidR="004C2F88">
        <w:t>,</w:t>
      </w:r>
      <w:r>
        <w:t xml:space="preserve"> kan der beregnes en samlet LTV for alle de ejendomme</w:t>
      </w:r>
      <w:r w:rsidR="004C2F88">
        <w:t>,</w:t>
      </w:r>
      <w:r>
        <w:t xml:space="preserve"> der er er stillet som pant for en eksponering, efter der er taget højde for foranstående hæftelser</w:t>
      </w:r>
      <w:r w:rsidR="00022C68">
        <w:t>.</w:t>
      </w:r>
    </w:p>
    <w:p w14:paraId="623EDD11" w14:textId="77777777" w:rsidR="00A73BAD" w:rsidRDefault="00A73BAD">
      <w:pPr>
        <w:spacing w:line="240" w:lineRule="auto"/>
        <w:jc w:val="left"/>
        <w:rPr>
          <w:i/>
          <w:iCs/>
        </w:rPr>
      </w:pPr>
      <w:r>
        <w:rPr>
          <w:i/>
          <w:iCs/>
        </w:rPr>
        <w:br w:type="page"/>
      </w:r>
    </w:p>
    <w:p w14:paraId="2336E1CC" w14:textId="4359AC96" w:rsidR="00A73BAD" w:rsidRDefault="00A73BAD">
      <w:pPr>
        <w:pStyle w:val="Brdtekst"/>
        <w:rPr>
          <w:i/>
          <w:iCs/>
        </w:rPr>
      </w:pPr>
      <w:r w:rsidRPr="00A73BAD">
        <w:rPr>
          <w:i/>
          <w:iCs/>
        </w:rPr>
        <w:lastRenderedPageBreak/>
        <w:t>Eksempel på undtagelse af laveste LTV-bånd</w:t>
      </w:r>
    </w:p>
    <w:p w14:paraId="34C98F1E" w14:textId="485462C6" w:rsidR="00A73BAD" w:rsidRDefault="00A73BAD" w:rsidP="00A73BAD">
      <w:r>
        <w:t xml:space="preserve">En eksponering til et ejendomsselskab på </w:t>
      </w:r>
      <w:r w:rsidR="004C2F88">
        <w:t>12</w:t>
      </w:r>
      <w:r>
        <w:t xml:space="preserve"> mio. kr., med pant i en ejendom med en værdi på 1</w:t>
      </w:r>
      <w:r w:rsidR="004C2F88">
        <w:t>6</w:t>
      </w:r>
      <w:r>
        <w:t xml:space="preserve"> mio. kr., vil have en LTV på 75 pct. Med en risikovægt på 40 pct. vil REA for eksponeringen være på </w:t>
      </w:r>
      <w:r w:rsidR="004C2F88">
        <w:t>4,8</w:t>
      </w:r>
      <w:r>
        <w:t xml:space="preserve"> mio. kr. </w:t>
      </w:r>
    </w:p>
    <w:p w14:paraId="002ACB96" w14:textId="5C878A21" w:rsidR="00A73BAD" w:rsidRDefault="00A73BAD">
      <w:pPr>
        <w:pStyle w:val="Brdtekst"/>
        <w:rPr>
          <w:b/>
          <w:bCs/>
        </w:rPr>
      </w:pPr>
    </w:p>
    <w:p w14:paraId="4EB2AEBF" w14:textId="7195C3E9" w:rsidR="00A73BAD" w:rsidRDefault="008D2188">
      <w:pPr>
        <w:pStyle w:val="Brdtekst"/>
      </w:pPr>
      <w:r>
        <w:t xml:space="preserve">Den del af eksponeringen der ligger i 0-15 pct. LTV-båndet vil svare til </w:t>
      </w:r>
      <w:r w:rsidR="004C2F88">
        <w:t>2,4</w:t>
      </w:r>
      <w:r>
        <w:t xml:space="preserve"> mio. kr.</w:t>
      </w:r>
      <w:r w:rsidR="004C2F88">
        <w:t xml:space="preserve"> (16 mio. kr. * 15 pct.)</w:t>
      </w:r>
    </w:p>
    <w:p w14:paraId="4F33D0D5" w14:textId="77777777" w:rsidR="004C2F88" w:rsidRDefault="004C2F88">
      <w:pPr>
        <w:pStyle w:val="Brdtekst"/>
      </w:pPr>
    </w:p>
    <w:p w14:paraId="4A6C8322" w14:textId="2B17FC35" w:rsidR="004C2F88" w:rsidRDefault="004C2F88">
      <w:pPr>
        <w:pStyle w:val="Brdtekst"/>
      </w:pPr>
      <w:r>
        <w:t>Den eksponering, der er omfattet af bufferen, er derfor 9,6 mio. (12-2,4). Der benyttes samme rikovægt som for de</w:t>
      </w:r>
      <w:r w:rsidR="006C4F2B">
        <w:t>n</w:t>
      </w:r>
      <w:r>
        <w:t xml:space="preserve"> samlede </w:t>
      </w:r>
      <w:r w:rsidR="006C4F2B">
        <w:t>eksponering</w:t>
      </w:r>
      <w:r>
        <w:t xml:space="preserve">, hvorfor det ekstra bufferkrav bliver 268.800 kr. (9,6 mio. kr. * </w:t>
      </w:r>
      <w:r w:rsidR="00780CEE">
        <w:t>40 pct.</w:t>
      </w:r>
      <w:r>
        <w:t xml:space="preserve"> * </w:t>
      </w:r>
      <w:r w:rsidR="00780CEE">
        <w:t>7 pct.</w:t>
      </w:r>
      <w:r>
        <w:t>).</w:t>
      </w:r>
    </w:p>
    <w:p w14:paraId="76C2CCE8" w14:textId="77777777" w:rsidR="008D2188" w:rsidRDefault="008D2188">
      <w:pPr>
        <w:pStyle w:val="Brdtekst"/>
      </w:pPr>
    </w:p>
    <w:p w14:paraId="537F250E" w14:textId="0B4E1B0B" w:rsidR="008D2188" w:rsidRDefault="008D2188">
      <w:pPr>
        <w:pStyle w:val="Brdtekst"/>
        <w:rPr>
          <w:i/>
          <w:iCs/>
        </w:rPr>
      </w:pPr>
      <w:r>
        <w:rPr>
          <w:i/>
          <w:iCs/>
        </w:rPr>
        <w:t>Eksempel på udtagelse af laveste LTV-bånd for pant i alt mellemværende</w:t>
      </w:r>
    </w:p>
    <w:p w14:paraId="096A109B" w14:textId="584C85CB" w:rsidR="004C2F88" w:rsidRDefault="008D2188" w:rsidP="008D2188">
      <w:pPr>
        <w:pStyle w:val="Brdtekst"/>
        <w:jc w:val="left"/>
      </w:pPr>
      <w:r>
        <w:t xml:space="preserve">Et pengeinstitut har udlån </w:t>
      </w:r>
      <w:r w:rsidR="004C2F88">
        <w:t xml:space="preserve">til </w:t>
      </w:r>
      <w:r>
        <w:t>et ejendomsselskab for i alt 100 mio. kr., med pant i tre ejendomme, med værdi på hhv. 40 mio. kr.</w:t>
      </w:r>
      <w:r w:rsidR="004C2F88">
        <w:t>,</w:t>
      </w:r>
      <w:r>
        <w:t xml:space="preserve"> 60 mio. kr. og 50 mio. kr. </w:t>
      </w:r>
      <w:r w:rsidR="004C2F88">
        <w:t>I</w:t>
      </w:r>
      <w:r>
        <w:t xml:space="preserve"> ejendommen med værdi på 50 mio. kr. er der foranstillet realkreditgæld for 5 mio. kr.,</w:t>
      </w:r>
      <w:r w:rsidR="00780CEE">
        <w:t xml:space="preserve"> mens</w:t>
      </w:r>
      <w:r>
        <w:t xml:space="preserve"> der er ingen foranstående hæfte</w:t>
      </w:r>
      <w:r w:rsidR="00780CEE">
        <w:t>lse</w:t>
      </w:r>
      <w:r>
        <w:t>r i de to andre ejendomme. For den første ejendom vil 6 mio. (40 mio.</w:t>
      </w:r>
      <w:r w:rsidR="00780CEE">
        <w:t xml:space="preserve"> </w:t>
      </w:r>
      <w:r>
        <w:t>kr</w:t>
      </w:r>
      <w:r w:rsidR="00780CEE">
        <w:t>.</w:t>
      </w:r>
      <w:r>
        <w:t xml:space="preserve"> * 15 pct.) kr. være undtaget, for den anden ejendom vil 9 mio. kr. (60 mio. kr. * 15 pct.) være undtaget, og for den sidste ejendom vil 2</w:t>
      </w:r>
      <w:r w:rsidR="00DF2E70">
        <w:t>,</w:t>
      </w:r>
      <w:r>
        <w:t xml:space="preserve">5 mio. kr. være undtaget (50 mio. kr. * 15 pct. – 5 mio. kr.). </w:t>
      </w:r>
    </w:p>
    <w:p w14:paraId="11A4B0B7" w14:textId="77777777" w:rsidR="004C2F88" w:rsidRDefault="004C2F88" w:rsidP="008D2188">
      <w:pPr>
        <w:pStyle w:val="Brdtekst"/>
        <w:jc w:val="left"/>
      </w:pPr>
    </w:p>
    <w:p w14:paraId="3DC812E8" w14:textId="6EB49F69" w:rsidR="008D2188" w:rsidRDefault="008D2188" w:rsidP="008D2188">
      <w:pPr>
        <w:pStyle w:val="Brdtekst"/>
        <w:jc w:val="left"/>
      </w:pPr>
      <w:r>
        <w:t>For hele eksponeringen vil 17,5 mio. kr. være undtaget. Med en risikovægt på 40 pct. vil bufferkravet for denne eksponering være 2</w:t>
      </w:r>
      <w:r w:rsidR="00DF2E70">
        <w:t>,</w:t>
      </w:r>
      <w:r>
        <w:t>31 mio. kr. ((100 mio. kr. – 17.5 mio. kr.) * 40 pct. * 7 pct.</w:t>
      </w:r>
      <w:r w:rsidR="004C2F88">
        <w:t>).</w:t>
      </w:r>
    </w:p>
    <w:p w14:paraId="148D2A4F" w14:textId="77777777" w:rsidR="008D2188" w:rsidRDefault="008D2188" w:rsidP="008D2188">
      <w:pPr>
        <w:pStyle w:val="Brdtekst"/>
        <w:jc w:val="left"/>
      </w:pPr>
    </w:p>
    <w:p w14:paraId="4AAD50DC" w14:textId="77777777" w:rsidR="008D2188" w:rsidRPr="008D2188" w:rsidRDefault="008D2188" w:rsidP="008D2188">
      <w:pPr>
        <w:pStyle w:val="Brdtekst"/>
        <w:jc w:val="left"/>
        <w:rPr>
          <w:b/>
          <w:bCs/>
        </w:rPr>
      </w:pPr>
    </w:p>
    <w:sectPr w:rsidR="008D2188" w:rsidRPr="008D2188" w:rsidSect="00D130F6">
      <w:headerReference w:type="default" r:id="rId8"/>
      <w:headerReference w:type="first" r:id="rId9"/>
      <w:pgSz w:w="11906" w:h="16838" w:code="9"/>
      <w:pgMar w:top="2325" w:right="3686" w:bottom="1418" w:left="1106" w:header="624" w:footer="567" w:gutter="0"/>
      <w:paperSrc w:first="11" w:other="1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05A53" w14:textId="77777777" w:rsidR="00D130F6" w:rsidRDefault="00D130F6">
      <w:pPr>
        <w:spacing w:line="240" w:lineRule="auto"/>
      </w:pPr>
      <w:r>
        <w:separator/>
      </w:r>
    </w:p>
  </w:endnote>
  <w:endnote w:type="continuationSeparator" w:id="0">
    <w:p w14:paraId="618761F2" w14:textId="77777777" w:rsidR="00D130F6" w:rsidRDefault="00D13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16687" w14:textId="77777777" w:rsidR="00D130F6" w:rsidRDefault="00D130F6">
      <w:pPr>
        <w:spacing w:line="240" w:lineRule="auto"/>
      </w:pPr>
      <w:r>
        <w:separator/>
      </w:r>
    </w:p>
  </w:footnote>
  <w:footnote w:type="continuationSeparator" w:id="0">
    <w:p w14:paraId="44B85C99" w14:textId="77777777" w:rsidR="00D130F6" w:rsidRDefault="00D130F6">
      <w:pPr>
        <w:spacing w:line="240" w:lineRule="auto"/>
      </w:pPr>
      <w:r>
        <w:continuationSeparator/>
      </w:r>
    </w:p>
  </w:footnote>
  <w:footnote w:id="1">
    <w:p w14:paraId="3409D8E9" w14:textId="7B8C283C" w:rsidR="00A73BAD" w:rsidRPr="00006596" w:rsidRDefault="00A73BAD">
      <w:pPr>
        <w:pStyle w:val="Fodnotetekst"/>
        <w:rPr>
          <w:lang w:val="fr-FR"/>
        </w:rPr>
      </w:pPr>
      <w:r>
        <w:rPr>
          <w:rStyle w:val="Fodnotehenvisning"/>
        </w:rPr>
        <w:footnoteRef/>
      </w:r>
      <w:r w:rsidRPr="00006596">
        <w:rPr>
          <w:lang w:val="fr-FR"/>
        </w:rPr>
        <w:t xml:space="preserve"> Se </w:t>
      </w:r>
      <w:hyperlink r:id="rId1" w:history="1">
        <w:r w:rsidRPr="00006596">
          <w:rPr>
            <w:rStyle w:val="Hyperlink"/>
            <w:lang w:val="fr-FR"/>
          </w:rPr>
          <w:t>https://www.dst.dk/da/Statistik/dokumentation/nomenklaturer/db07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8E8AD" w14:textId="77777777" w:rsidR="00163A8D" w:rsidRDefault="00C12726">
    <w:pPr>
      <w:framePr w:w="1531" w:h="851" w:wrap="around" w:vAnchor="page" w:hAnchor="page" w:x="9186" w:y="721"/>
    </w:pPr>
    <w:r>
      <w:rPr>
        <w:rStyle w:val="Sidetal"/>
      </w:rPr>
      <w:fldChar w:fldCharType="begin"/>
    </w:r>
    <w:r w:rsidR="00163A8D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163A8D">
      <w:rPr>
        <w:rStyle w:val="Sidetal"/>
        <w:noProof/>
      </w:rPr>
      <w:t>2</w:t>
    </w:r>
    <w:r>
      <w:rPr>
        <w:rStyle w:val="Sidetal"/>
      </w:rPr>
      <w:fldChar w:fldCharType="end"/>
    </w:r>
    <w:r w:rsidR="00163A8D">
      <w:rPr>
        <w:rStyle w:val="Sidetal"/>
      </w:rPr>
      <w:t>/</w:t>
    </w:r>
    <w:r>
      <w:rPr>
        <w:rStyle w:val="Sidetal"/>
      </w:rPr>
      <w:fldChar w:fldCharType="begin"/>
    </w:r>
    <w:r w:rsidR="00163A8D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B23B9D">
      <w:rPr>
        <w:rStyle w:val="Sidetal"/>
        <w:noProof/>
      </w:rPr>
      <w:t>1</w:t>
    </w:r>
    <w:r>
      <w:rPr>
        <w:rStyle w:val="Sidetal"/>
      </w:rPr>
      <w:fldChar w:fldCharType="end"/>
    </w:r>
  </w:p>
  <w:p w14:paraId="78032131" w14:textId="77777777" w:rsidR="00163A8D" w:rsidRDefault="00163A8D">
    <w:pPr>
      <w:framePr w:w="1531" w:h="851" w:wrap="around" w:vAnchor="page" w:hAnchor="page" w:x="9186" w:y="721"/>
    </w:pPr>
  </w:p>
  <w:p w14:paraId="2B1D47AB" w14:textId="77777777" w:rsidR="00163A8D" w:rsidRDefault="00163A8D">
    <w:pPr>
      <w:framePr w:w="1531" w:h="851" w:wrap="around" w:vAnchor="page" w:hAnchor="page" w:x="9186" w:y="721"/>
    </w:pPr>
  </w:p>
  <w:p w14:paraId="1D533022" w14:textId="77777777" w:rsidR="00163A8D" w:rsidRDefault="00163A8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2526B" w14:textId="77777777" w:rsidR="00163A8D" w:rsidRDefault="00CD5C1F">
    <w:pPr>
      <w:pStyle w:val="Sidehoved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206F6F6" wp14:editId="703D2756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1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4349">
      <w:rPr>
        <w:noProof/>
      </w:rPr>
      <w:drawing>
        <wp:anchor distT="0" distB="0" distL="114300" distR="114300" simplePos="0" relativeHeight="251657728" behindDoc="0" locked="1" layoutInCell="0" allowOverlap="1" wp14:anchorId="751B04A0" wp14:editId="288D6E08">
          <wp:simplePos x="0" y="0"/>
          <wp:positionH relativeFrom="margin">
            <wp:posOffset>-9525</wp:posOffset>
          </wp:positionH>
          <wp:positionV relativeFrom="page">
            <wp:posOffset>1503045</wp:posOffset>
          </wp:positionV>
          <wp:extent cx="638175" cy="114300"/>
          <wp:effectExtent l="19050" t="0" r="9525" b="0"/>
          <wp:wrapTopAndBottom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56C9E"/>
    <w:multiLevelType w:val="multilevel"/>
    <w:tmpl w:val="B4443E96"/>
    <w:lvl w:ilvl="0">
      <w:start w:val="1"/>
      <w:numFmt w:val="decimal"/>
      <w:pStyle w:val="Underoverskrift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3C7D2F"/>
    <w:multiLevelType w:val="hybridMultilevel"/>
    <w:tmpl w:val="7B14156E"/>
    <w:lvl w:ilvl="0" w:tplc="91284876">
      <w:start w:val="1"/>
      <w:numFmt w:val="bullet"/>
      <w:pStyle w:val="Listeafsnit"/>
      <w:lvlText w:val=""/>
      <w:lvlJc w:val="left"/>
      <w:pPr>
        <w:ind w:left="144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2C0E20"/>
    <w:multiLevelType w:val="hybridMultilevel"/>
    <w:tmpl w:val="DE68F320"/>
    <w:lvl w:ilvl="0" w:tplc="A1ACD74E">
      <w:start w:val="1"/>
      <w:numFmt w:val="lowerLetter"/>
      <w:pStyle w:val="ListeBogstav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287A84"/>
    <w:multiLevelType w:val="hybridMultilevel"/>
    <w:tmpl w:val="BBB49F4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53794"/>
    <w:multiLevelType w:val="hybridMultilevel"/>
    <w:tmpl w:val="308E1D24"/>
    <w:lvl w:ilvl="0" w:tplc="3E0CC88A">
      <w:start w:val="1"/>
      <w:numFmt w:val="decimal"/>
      <w:pStyle w:val="ListeT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8304377">
    <w:abstractNumId w:val="5"/>
  </w:num>
  <w:num w:numId="2" w16cid:durableId="887107040">
    <w:abstractNumId w:val="3"/>
  </w:num>
  <w:num w:numId="3" w16cid:durableId="1750032340">
    <w:abstractNumId w:val="1"/>
  </w:num>
  <w:num w:numId="4" w16cid:durableId="413357143">
    <w:abstractNumId w:val="2"/>
  </w:num>
  <w:num w:numId="5" w16cid:durableId="1813712712">
    <w:abstractNumId w:val="4"/>
  </w:num>
  <w:num w:numId="6" w16cid:durableId="2282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  <w:docVar w:name="Initialer" w:val="Empty"/>
    <w:docVar w:name="Kontor" w:val="Empty"/>
    <w:docVar w:name="PCAdato" w:val="Empty"/>
    <w:docVar w:name="PCAmodtager" w:val="Empty"/>
    <w:docVar w:name="PCAoverskrift" w:val="Empty"/>
    <w:docVar w:name="PCASag" w:val="Empty"/>
    <w:docVar w:name="PCAStart" w:val="Empty"/>
  </w:docVars>
  <w:rsids>
    <w:rsidRoot w:val="00A73BAD"/>
    <w:rsid w:val="00006596"/>
    <w:rsid w:val="00012E11"/>
    <w:rsid w:val="00022C68"/>
    <w:rsid w:val="0002744C"/>
    <w:rsid w:val="0003087D"/>
    <w:rsid w:val="00052F83"/>
    <w:rsid w:val="00057F48"/>
    <w:rsid w:val="000A0DC7"/>
    <w:rsid w:val="000A3975"/>
    <w:rsid w:val="000C0183"/>
    <w:rsid w:val="000C13A3"/>
    <w:rsid w:val="000F7A94"/>
    <w:rsid w:val="00120388"/>
    <w:rsid w:val="00163A8D"/>
    <w:rsid w:val="00171D51"/>
    <w:rsid w:val="001E4A6B"/>
    <w:rsid w:val="00230D73"/>
    <w:rsid w:val="00260676"/>
    <w:rsid w:val="002779D0"/>
    <w:rsid w:val="002A499B"/>
    <w:rsid w:val="002A4DE3"/>
    <w:rsid w:val="002E6F9A"/>
    <w:rsid w:val="002F13A8"/>
    <w:rsid w:val="00305117"/>
    <w:rsid w:val="00331EDD"/>
    <w:rsid w:val="003925D1"/>
    <w:rsid w:val="003C3DF6"/>
    <w:rsid w:val="003E3B9B"/>
    <w:rsid w:val="003E4349"/>
    <w:rsid w:val="004229A0"/>
    <w:rsid w:val="0044286B"/>
    <w:rsid w:val="004C2F88"/>
    <w:rsid w:val="00506109"/>
    <w:rsid w:val="005439BC"/>
    <w:rsid w:val="00586C74"/>
    <w:rsid w:val="0063728A"/>
    <w:rsid w:val="006724DD"/>
    <w:rsid w:val="006C3314"/>
    <w:rsid w:val="006C4F2B"/>
    <w:rsid w:val="006C7261"/>
    <w:rsid w:val="006F510B"/>
    <w:rsid w:val="00700253"/>
    <w:rsid w:val="00703E18"/>
    <w:rsid w:val="00780CEE"/>
    <w:rsid w:val="007E5F37"/>
    <w:rsid w:val="008470F6"/>
    <w:rsid w:val="00850B00"/>
    <w:rsid w:val="00887B87"/>
    <w:rsid w:val="008D2188"/>
    <w:rsid w:val="008D381B"/>
    <w:rsid w:val="00904F2B"/>
    <w:rsid w:val="00907B69"/>
    <w:rsid w:val="00911391"/>
    <w:rsid w:val="00920A2D"/>
    <w:rsid w:val="009A4AE9"/>
    <w:rsid w:val="009C70F7"/>
    <w:rsid w:val="00A30B33"/>
    <w:rsid w:val="00A73BAD"/>
    <w:rsid w:val="00AA185B"/>
    <w:rsid w:val="00B23B9D"/>
    <w:rsid w:val="00B34847"/>
    <w:rsid w:val="00B420E6"/>
    <w:rsid w:val="00B57A46"/>
    <w:rsid w:val="00BA2345"/>
    <w:rsid w:val="00BF501F"/>
    <w:rsid w:val="00C12726"/>
    <w:rsid w:val="00C1731D"/>
    <w:rsid w:val="00C5465E"/>
    <w:rsid w:val="00C600DC"/>
    <w:rsid w:val="00CB79F4"/>
    <w:rsid w:val="00CD5C1F"/>
    <w:rsid w:val="00CF4780"/>
    <w:rsid w:val="00D130F6"/>
    <w:rsid w:val="00D52FDD"/>
    <w:rsid w:val="00DB1666"/>
    <w:rsid w:val="00DF2E70"/>
    <w:rsid w:val="00E2456A"/>
    <w:rsid w:val="00E34E1B"/>
    <w:rsid w:val="00E44B59"/>
    <w:rsid w:val="00E6727D"/>
    <w:rsid w:val="00EC3FFA"/>
    <w:rsid w:val="00EC7CF5"/>
    <w:rsid w:val="00EE055E"/>
    <w:rsid w:val="00EE5374"/>
    <w:rsid w:val="00F9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32C52"/>
  <w15:docId w15:val="{052A3D2F-5EA5-4C84-A77A-D60E5894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6A"/>
    <w:pPr>
      <w:spacing w:line="280" w:lineRule="exact"/>
      <w:jc w:val="both"/>
    </w:pPr>
    <w:rPr>
      <w:rFonts w:ascii="Arial" w:hAnsi="Arial"/>
      <w:sz w:val="21"/>
    </w:rPr>
  </w:style>
  <w:style w:type="paragraph" w:styleId="Overskrift1">
    <w:name w:val="heading 1"/>
    <w:basedOn w:val="Normal"/>
    <w:next w:val="Brdtekst"/>
    <w:qFormat/>
    <w:rsid w:val="00907B69"/>
    <w:pPr>
      <w:keepNext/>
      <w:spacing w:line="480" w:lineRule="exact"/>
      <w:outlineLvl w:val="0"/>
    </w:pPr>
    <w:rPr>
      <w:rFonts w:ascii="Constantia" w:hAnsi="Constantia"/>
      <w:b/>
      <w:color w:val="990000"/>
      <w:sz w:val="32"/>
    </w:rPr>
  </w:style>
  <w:style w:type="paragraph" w:styleId="Overskrift2">
    <w:name w:val="heading 2"/>
    <w:basedOn w:val="Normal"/>
    <w:next w:val="Normal"/>
    <w:link w:val="Overskrift2Tegn"/>
    <w:qFormat/>
    <w:rsid w:val="00586C74"/>
    <w:pPr>
      <w:keepNext/>
      <w:keepLines/>
      <w:spacing w:before="280" w:after="140"/>
      <w:outlineLvl w:val="1"/>
    </w:pPr>
    <w:rPr>
      <w:rFonts w:ascii="Constantia" w:eastAsiaTheme="majorEastAsia" w:hAnsi="Constantia" w:cstheme="majorBidi"/>
      <w:b/>
      <w:bCs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rsid w:val="00E44B59"/>
    <w:pPr>
      <w:framePr w:w="2268" w:h="7370" w:hSpace="141" w:wrap="around" w:hAnchor="page" w:x="9270" w:anchorLock="1"/>
    </w:pPr>
    <w:rPr>
      <w:sz w:val="15"/>
    </w:rPr>
  </w:style>
  <w:style w:type="paragraph" w:customStyle="1" w:styleId="diverse">
    <w:name w:val="diverse"/>
    <w:basedOn w:val="Normal"/>
    <w:rsid w:val="00E44B59"/>
    <w:rPr>
      <w:sz w:val="18"/>
    </w:rPr>
  </w:style>
  <w:style w:type="character" w:styleId="Sidetal">
    <w:name w:val="page number"/>
    <w:basedOn w:val="Standardskrifttypeiafsnit"/>
    <w:rsid w:val="00E44B59"/>
  </w:style>
  <w:style w:type="paragraph" w:customStyle="1" w:styleId="datomv">
    <w:name w:val="datomv"/>
    <w:basedOn w:val="skakt"/>
    <w:rsid w:val="00E44B59"/>
    <w:pPr>
      <w:framePr w:w="0" w:hRule="auto" w:hSpace="142" w:wrap="around" w:vAnchor="text" w:hAnchor="text" w:x="9073" w:y="1"/>
    </w:pPr>
    <w:rPr>
      <w:rFonts w:ascii="Times New Roman" w:hAnsi="Times New Roman"/>
      <w:sz w:val="24"/>
    </w:rPr>
  </w:style>
  <w:style w:type="paragraph" w:styleId="Sidehoved">
    <w:name w:val="header"/>
    <w:basedOn w:val="Normal"/>
    <w:rsid w:val="00E44B59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  <w:rsid w:val="00E44B59"/>
  </w:style>
  <w:style w:type="paragraph" w:styleId="Sidefod">
    <w:name w:val="footer"/>
    <w:basedOn w:val="Normal"/>
    <w:rsid w:val="00331EDD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paragraph" w:customStyle="1" w:styleId="Enhed">
    <w:name w:val="Enhed"/>
    <w:basedOn w:val="Normal"/>
    <w:rsid w:val="00E44B59"/>
    <w:pPr>
      <w:framePr w:h="454" w:hRule="exact" w:wrap="around" w:vAnchor="page" w:hAnchor="page" w:x="9186" w:y="1702"/>
    </w:pPr>
    <w:rPr>
      <w:b/>
      <w:caps/>
      <w:sz w:val="15"/>
    </w:rPr>
  </w:style>
  <w:style w:type="paragraph" w:styleId="Brdtekst">
    <w:name w:val="Body Text"/>
    <w:basedOn w:val="Normal"/>
    <w:rsid w:val="00CF478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5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5C1F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rsid w:val="00586C74"/>
    <w:rPr>
      <w:rFonts w:ascii="Constantia" w:eastAsiaTheme="majorEastAsia" w:hAnsi="Constantia" w:cstheme="majorBidi"/>
      <w:b/>
      <w:bCs/>
      <w:color w:val="000000" w:themeColor="text1"/>
      <w:sz w:val="22"/>
      <w:szCs w:val="26"/>
    </w:rPr>
  </w:style>
  <w:style w:type="paragraph" w:styleId="Listeafsnit">
    <w:name w:val="List Paragraph"/>
    <w:basedOn w:val="Normal"/>
    <w:uiPriority w:val="1"/>
    <w:qFormat/>
    <w:rsid w:val="00586C74"/>
    <w:pPr>
      <w:numPr>
        <w:numId w:val="3"/>
      </w:numPr>
      <w:ind w:left="426" w:hanging="426"/>
      <w:contextualSpacing/>
    </w:pPr>
  </w:style>
  <w:style w:type="paragraph" w:customStyle="1" w:styleId="Underoverskrift">
    <w:name w:val="Underoverskrift"/>
    <w:basedOn w:val="Overskrift2"/>
    <w:next w:val="Normal"/>
    <w:qFormat/>
    <w:rsid w:val="00586C74"/>
    <w:pPr>
      <w:numPr>
        <w:numId w:val="6"/>
      </w:numPr>
    </w:pPr>
  </w:style>
  <w:style w:type="paragraph" w:customStyle="1" w:styleId="ListeTal">
    <w:name w:val="ListeTal"/>
    <w:basedOn w:val="Listeafsnit"/>
    <w:uiPriority w:val="1"/>
    <w:qFormat/>
    <w:rsid w:val="00586C74"/>
    <w:pPr>
      <w:numPr>
        <w:numId w:val="5"/>
      </w:numPr>
      <w:ind w:left="426" w:hanging="426"/>
    </w:pPr>
  </w:style>
  <w:style w:type="paragraph" w:customStyle="1" w:styleId="ListeBogstaver">
    <w:name w:val="ListeBogstaver"/>
    <w:basedOn w:val="Listeafsnit"/>
    <w:uiPriority w:val="1"/>
    <w:qFormat/>
    <w:rsid w:val="00586C74"/>
    <w:pPr>
      <w:numPr>
        <w:numId w:val="4"/>
      </w:numPr>
      <w:ind w:left="426" w:hanging="426"/>
    </w:pPr>
  </w:style>
  <w:style w:type="paragraph" w:styleId="Fodnotetekst">
    <w:name w:val="footnote text"/>
    <w:basedOn w:val="Normal"/>
    <w:link w:val="FodnotetekstTegn"/>
    <w:uiPriority w:val="2"/>
    <w:qFormat/>
    <w:rsid w:val="00E2456A"/>
    <w:pPr>
      <w:spacing w:line="360" w:lineRule="auto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"/>
    <w:rsid w:val="00E2456A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2456A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A73BAD"/>
    <w:rPr>
      <w:color w:val="99000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73BAD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C2F88"/>
    <w:rPr>
      <w:rFonts w:ascii="Arial" w:hAnsi="Arial"/>
      <w:sz w:val="2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80CE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80CEE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80CEE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80CE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80CE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st.dk/da/Statistik/dokumentation/nomenklaturer/db07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FT-Skabelon\Notat.dotm" TargetMode="Externa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FEA07-F61D-4863-910C-1D41F98D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3</TotalTime>
  <Pages>2</Pages>
  <Words>484</Words>
  <Characters>2528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Emil Fabricius Svansø (FT)</dc:creator>
  <cp:keywords/>
  <cp:lastModifiedBy>Emil Fabricius Svansø (FT)</cp:lastModifiedBy>
  <cp:revision>7</cp:revision>
  <cp:lastPrinted>2002-07-26T09:51:00Z</cp:lastPrinted>
  <dcterms:created xsi:type="dcterms:W3CDTF">2024-05-02T12:26:00Z</dcterms:created>
  <dcterms:modified xsi:type="dcterms:W3CDTF">2024-06-28T10:13:00Z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/>
  </property>
  <property fmtid="{D5CDD505-2E9C-101B-9397-08002B2CF9AE}" pid="3" name="DocNumber">
    <vt:i4>0</vt:i4>
  </property>
  <property fmtid="{D5CDD505-2E9C-101B-9397-08002B2CF9AE}" pid="4" name="AdrCode">
    <vt:lpwstr/>
  </property>
  <property fmtid="{D5CDD505-2E9C-101B-9397-08002B2CF9AE}" pid="5" name="Modtager">
    <vt:lpwstr/>
  </property>
  <property fmtid="{D5CDD505-2E9C-101B-9397-08002B2CF9AE}" pid="6" name="PDokDato">
    <vt:lpwstr>22. april 2024</vt:lpwstr>
  </property>
  <property fmtid="{D5CDD505-2E9C-101B-9397-08002B2CF9AE}" pid="7" name="PJournalNr">
    <vt:lpwstr/>
  </property>
  <property fmtid="{D5CDD505-2E9C-101B-9397-08002B2CF9AE}" pid="8" name="PEmne">
    <vt:lpwstr>Implementering af den systemiske buffer</vt:lpwstr>
  </property>
  <property fmtid="{D5CDD505-2E9C-101B-9397-08002B2CF9AE}" pid="9" name="PATitle">
    <vt:lpwstr/>
  </property>
  <property fmtid="{D5CDD505-2E9C-101B-9397-08002B2CF9AE}" pid="10" name="PATlf">
    <vt:lpwstr/>
  </property>
  <property fmtid="{D5CDD505-2E9C-101B-9397-08002B2CF9AE}" pid="11" name="PAEmail">
    <vt:lpwstr/>
  </property>
  <property fmtid="{D5CDD505-2E9C-101B-9397-08002B2CF9AE}" pid="12" name="ModtRef">
    <vt:lpwstr/>
  </property>
  <property fmtid="{D5CDD505-2E9C-101B-9397-08002B2CF9AE}" pid="13" name="Initialer">
    <vt:lpwstr>EMSV</vt:lpwstr>
  </property>
  <property fmtid="{D5CDD505-2E9C-101B-9397-08002B2CF9AE}" pid="14" name="Bilag">
    <vt:i4>0</vt:i4>
  </property>
  <property fmtid="{D5CDD505-2E9C-101B-9397-08002B2CF9AE}" pid="15" name="Kontor">
    <vt:lpwstr/>
  </property>
  <property fmtid="{D5CDD505-2E9C-101B-9397-08002B2CF9AE}" pid="16" name="Diverse">
    <vt:lpwstr/>
  </property>
</Properties>
</file>